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04A023" w14:textId="52929D83" w:rsidR="00726642" w:rsidRPr="00755D6B" w:rsidRDefault="00726642" w:rsidP="00726642">
      <w:pPr>
        <w:jc w:val="center"/>
        <w:rPr>
          <w:sz w:val="36"/>
          <w:szCs w:val="36"/>
        </w:rPr>
      </w:pPr>
      <w:r w:rsidRPr="00755D6B">
        <w:rPr>
          <w:sz w:val="36"/>
          <w:szCs w:val="36"/>
        </w:rPr>
        <w:t>Chapitre 9 : Géométrie du triangle</w:t>
      </w:r>
      <w:r w:rsidR="00130B1B" w:rsidRPr="00755D6B">
        <w:rPr>
          <w:sz w:val="36"/>
          <w:szCs w:val="36"/>
        </w:rPr>
        <w:t xml:space="preserve"> (suite)</w:t>
      </w:r>
    </w:p>
    <w:p w14:paraId="232A872C" w14:textId="084719E8" w:rsidR="00F56E2B" w:rsidRPr="00726642" w:rsidRDefault="00F56E2B" w:rsidP="00F56E2B">
      <w:pPr>
        <w:spacing w:before="600"/>
        <w:rPr>
          <w:color w:val="00B050"/>
        </w:rPr>
      </w:pPr>
      <w:r>
        <w:rPr>
          <w:color w:val="00B050"/>
        </w:rPr>
        <w:t>5</w:t>
      </w:r>
      <w:r w:rsidRPr="00726642">
        <w:rPr>
          <w:color w:val="00B050"/>
        </w:rPr>
        <w:t xml:space="preserve">. </w:t>
      </w:r>
      <w:r>
        <w:rPr>
          <w:color w:val="00B050"/>
        </w:rPr>
        <w:t>Droites remarquables du triangle</w:t>
      </w:r>
    </w:p>
    <w:p w14:paraId="31906273" w14:textId="10534F8D" w:rsidR="00F56E2B" w:rsidRPr="00F82953" w:rsidRDefault="00F56E2B" w:rsidP="00F56E2B">
      <w:pPr>
        <w:spacing w:before="240"/>
        <w:ind w:left="284"/>
        <w:rPr>
          <w:color w:val="ED7D31" w:themeColor="accent2"/>
        </w:rPr>
      </w:pPr>
      <w:r w:rsidRPr="00F82953">
        <w:rPr>
          <w:color w:val="ED7D31" w:themeColor="accent2"/>
        </w:rPr>
        <w:t xml:space="preserve">1) </w:t>
      </w:r>
      <w:r>
        <w:rPr>
          <w:color w:val="ED7D31" w:themeColor="accent2"/>
        </w:rPr>
        <w:t>Médianes d’un triangle</w:t>
      </w:r>
    </w:p>
    <w:p w14:paraId="0B1DA9DA" w14:textId="3729CDA2" w:rsidR="00F56E2B" w:rsidRPr="007964A5" w:rsidRDefault="00F56E2B" w:rsidP="00F56E2B">
      <w:pPr>
        <w:ind w:left="567"/>
      </w:pPr>
      <w:r w:rsidRPr="007964A5">
        <w:rPr>
          <w:u w:val="single"/>
        </w:rPr>
        <w:t>Définition</w:t>
      </w:r>
      <w:r w:rsidRPr="007964A5">
        <w:t> :</w:t>
      </w:r>
    </w:p>
    <w:p w14:paraId="0C09BC08" w14:textId="0CCB8EB2" w:rsidR="00F56E2B" w:rsidRPr="005C413E" w:rsidRDefault="00F56E2B" w:rsidP="00F56E2B">
      <w:pPr>
        <w:spacing w:before="240" w:after="0"/>
        <w:rPr>
          <w:color w:val="FF0000"/>
        </w:rPr>
      </w:pPr>
      <w:r>
        <w:rPr>
          <w:color w:val="FF0000"/>
        </w:rPr>
        <w:t xml:space="preserve">Dans un triangle, une </w:t>
      </w:r>
      <w:r w:rsidRPr="00F56E2B">
        <w:rPr>
          <w:color w:val="FF0000"/>
          <w:u w:val="single"/>
        </w:rPr>
        <w:t>médiane</w:t>
      </w:r>
      <w:r>
        <w:rPr>
          <w:color w:val="FF0000"/>
        </w:rPr>
        <w:t xml:space="preserve"> est une droite qui passe par un sommet et qui coupe le côté opposé en son milieu.</w:t>
      </w:r>
    </w:p>
    <w:p w14:paraId="6C7F3C58" w14:textId="3D85B4DA" w:rsidR="00F56E2B" w:rsidRDefault="002C21A9" w:rsidP="00F56E2B">
      <w:pPr>
        <w:spacing w:before="240" w:after="0"/>
        <w:ind w:left="284"/>
      </w:pPr>
      <w:r>
        <w:rPr>
          <w:noProof/>
        </w:rPr>
        <w:drawing>
          <wp:inline distT="0" distB="0" distL="0" distR="0" wp14:anchorId="4D77DBEC" wp14:editId="51DB892B">
            <wp:extent cx="5478773" cy="2809875"/>
            <wp:effectExtent l="0" t="0" r="8255" b="0"/>
            <wp:docPr id="7653184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31843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873" cy="281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E2528" w14:textId="3B8A22F6" w:rsidR="00AD5266" w:rsidRPr="00C9352E" w:rsidRDefault="00AD5266" w:rsidP="00AD5266">
      <w:pPr>
        <w:spacing w:before="360"/>
        <w:ind w:left="567"/>
        <w:rPr>
          <w:color w:val="0070C0"/>
        </w:rPr>
      </w:pPr>
      <w:r>
        <w:rPr>
          <w:color w:val="0070C0"/>
          <w:u w:val="single"/>
        </w:rPr>
        <w:t>Propriétés 1</w:t>
      </w:r>
      <w:r w:rsidRPr="00C9352E">
        <w:rPr>
          <w:color w:val="0070C0"/>
        </w:rPr>
        <w:t> :</w:t>
      </w:r>
    </w:p>
    <w:p w14:paraId="42F42CD3" w14:textId="6F375BD6" w:rsidR="00AD5266" w:rsidRDefault="00AD5266" w:rsidP="00AD5266">
      <w:pPr>
        <w:spacing w:before="120" w:after="0"/>
        <w:rPr>
          <w:color w:val="FF0000"/>
        </w:rPr>
      </w:pPr>
      <w:r>
        <w:rPr>
          <w:color w:val="FF0000"/>
        </w:rPr>
        <w:t>Les trois médianes d’un triangle se coupent en un seul point : elles sont concourantes</w:t>
      </w:r>
      <w:r w:rsidR="00130B1B">
        <w:rPr>
          <w:color w:val="FF0000"/>
        </w:rPr>
        <w:t xml:space="preserve"> ; le point d’intersection s’appelle le </w:t>
      </w:r>
      <w:r w:rsidR="00130B1B" w:rsidRPr="00AF5651">
        <w:rPr>
          <w:b/>
          <w:bCs/>
          <w:color w:val="FF0000"/>
        </w:rPr>
        <w:t>centre de gravité</w:t>
      </w:r>
      <w:r w:rsidR="00130B1B">
        <w:rPr>
          <w:color w:val="FF0000"/>
        </w:rPr>
        <w:t xml:space="preserve"> </w:t>
      </w:r>
      <w:r w:rsidR="00AF5651">
        <w:rPr>
          <w:color w:val="FF0000"/>
        </w:rPr>
        <w:t xml:space="preserve">(G) </w:t>
      </w:r>
      <w:r w:rsidR="00130B1B">
        <w:rPr>
          <w:color w:val="FF0000"/>
        </w:rPr>
        <w:t>du triangle.</w:t>
      </w:r>
    </w:p>
    <w:p w14:paraId="7B668807" w14:textId="7E7CAB02" w:rsidR="00130B1B" w:rsidRPr="00C9352E" w:rsidRDefault="00130B1B" w:rsidP="00130B1B">
      <w:pPr>
        <w:spacing w:before="360"/>
        <w:ind w:left="567"/>
        <w:rPr>
          <w:color w:val="0070C0"/>
        </w:rPr>
      </w:pPr>
      <w:r>
        <w:rPr>
          <w:color w:val="0070C0"/>
          <w:u w:val="single"/>
        </w:rPr>
        <w:t>Propriétés 2</w:t>
      </w:r>
      <w:r w:rsidRPr="00C9352E">
        <w:rPr>
          <w:color w:val="0070C0"/>
        </w:rPr>
        <w:t> :</w:t>
      </w:r>
    </w:p>
    <w:p w14:paraId="277D74E6" w14:textId="151C0C98" w:rsidR="00130B1B" w:rsidRDefault="00130B1B" w:rsidP="00130B1B">
      <w:pPr>
        <w:spacing w:before="120" w:after="0"/>
        <w:rPr>
          <w:color w:val="FF0000"/>
        </w:rPr>
      </w:pPr>
      <w:r>
        <w:rPr>
          <w:color w:val="FF0000"/>
        </w:rPr>
        <w:t>Chaque médiane partage un triangle en deux triangles de même aire.</w:t>
      </w:r>
    </w:p>
    <w:p w14:paraId="2AB9295B" w14:textId="2DE1A0C9" w:rsidR="00965CF2" w:rsidRPr="00F82953" w:rsidRDefault="00965CF2" w:rsidP="00772AA9">
      <w:pPr>
        <w:spacing w:before="480"/>
        <w:rPr>
          <w:color w:val="ED7D31" w:themeColor="accent2"/>
        </w:rPr>
      </w:pPr>
      <w:r>
        <w:rPr>
          <w:color w:val="ED7D31" w:themeColor="accent2"/>
        </w:rPr>
        <w:t>2</w:t>
      </w:r>
      <w:r w:rsidRPr="00F82953">
        <w:rPr>
          <w:color w:val="ED7D31" w:themeColor="accent2"/>
        </w:rPr>
        <w:t xml:space="preserve">) </w:t>
      </w:r>
      <w:r>
        <w:rPr>
          <w:color w:val="ED7D31" w:themeColor="accent2"/>
        </w:rPr>
        <w:t>Hauteurs d’un triangle</w:t>
      </w:r>
    </w:p>
    <w:p w14:paraId="1C7444D4" w14:textId="77777777" w:rsidR="00965CF2" w:rsidRPr="007964A5" w:rsidRDefault="00965CF2" w:rsidP="00965CF2">
      <w:pPr>
        <w:ind w:left="567"/>
      </w:pPr>
      <w:r w:rsidRPr="007964A5">
        <w:rPr>
          <w:u w:val="single"/>
        </w:rPr>
        <w:t>Définition</w:t>
      </w:r>
      <w:r w:rsidRPr="007964A5">
        <w:t> :</w:t>
      </w:r>
    </w:p>
    <w:p w14:paraId="33813868" w14:textId="512D7B90" w:rsidR="00965CF2" w:rsidRPr="005C413E" w:rsidRDefault="00965CF2" w:rsidP="00965CF2">
      <w:pPr>
        <w:spacing w:before="240" w:after="0"/>
        <w:rPr>
          <w:color w:val="FF0000"/>
        </w:rPr>
      </w:pPr>
      <w:r>
        <w:rPr>
          <w:color w:val="FF0000"/>
        </w:rPr>
        <w:t xml:space="preserve">Dans un triangle, une </w:t>
      </w:r>
      <w:r>
        <w:rPr>
          <w:color w:val="FF0000"/>
          <w:u w:val="single"/>
        </w:rPr>
        <w:t>hauteur</w:t>
      </w:r>
      <w:r>
        <w:rPr>
          <w:color w:val="FF0000"/>
        </w:rPr>
        <w:t xml:space="preserve"> est une droite qui passe par un sommet et qui est perpendiculaire au côté opposé.</w:t>
      </w:r>
    </w:p>
    <w:p w14:paraId="01E87AEB" w14:textId="7E902F04" w:rsidR="001A127B" w:rsidRDefault="003279C7" w:rsidP="001D44B8">
      <w:pPr>
        <w:spacing w:before="240" w:after="0"/>
      </w:pPr>
      <w:r>
        <w:rPr>
          <w:noProof/>
        </w:rPr>
        <w:lastRenderedPageBreak/>
        <w:drawing>
          <wp:inline distT="0" distB="0" distL="0" distR="0" wp14:anchorId="7C68B0D9" wp14:editId="4B8AF6DE">
            <wp:extent cx="6120130" cy="2725420"/>
            <wp:effectExtent l="0" t="0" r="0" b="0"/>
            <wp:docPr id="10329263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92639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F5AF5" w14:textId="476026ED" w:rsidR="007964A5" w:rsidRPr="00C9352E" w:rsidRDefault="007964A5" w:rsidP="007964A5">
      <w:pPr>
        <w:spacing w:before="360"/>
        <w:ind w:left="567"/>
        <w:rPr>
          <w:color w:val="0070C0"/>
        </w:rPr>
      </w:pPr>
      <w:r>
        <w:rPr>
          <w:color w:val="0070C0"/>
          <w:u w:val="single"/>
        </w:rPr>
        <w:t>Propriétés 3</w:t>
      </w:r>
      <w:r w:rsidRPr="00C9352E">
        <w:rPr>
          <w:color w:val="0070C0"/>
        </w:rPr>
        <w:t> :</w:t>
      </w:r>
    </w:p>
    <w:p w14:paraId="143172BA" w14:textId="4E4EDCE0" w:rsidR="007964A5" w:rsidRDefault="007964A5" w:rsidP="007964A5">
      <w:pPr>
        <w:spacing w:before="120" w:after="0"/>
        <w:rPr>
          <w:color w:val="FF0000"/>
        </w:rPr>
      </w:pPr>
      <w:r>
        <w:rPr>
          <w:color w:val="FF0000"/>
        </w:rPr>
        <w:t xml:space="preserve">Les trois hauteurs d’un triangle </w:t>
      </w:r>
      <w:r w:rsidR="00A10EE5">
        <w:rPr>
          <w:color w:val="FF0000"/>
        </w:rPr>
        <w:t xml:space="preserve">sont concourantes en un point appelé </w:t>
      </w:r>
      <w:r w:rsidR="00A10EE5" w:rsidRPr="00A10EE5">
        <w:rPr>
          <w:b/>
          <w:bCs/>
          <w:color w:val="FF0000"/>
        </w:rPr>
        <w:t>l’orthocentre</w:t>
      </w:r>
      <w:r w:rsidR="00A10EE5">
        <w:rPr>
          <w:color w:val="FF0000"/>
        </w:rPr>
        <w:t xml:space="preserve"> du triangle</w:t>
      </w:r>
      <w:r>
        <w:rPr>
          <w:color w:val="FF0000"/>
        </w:rPr>
        <w:t>.</w:t>
      </w:r>
    </w:p>
    <w:p w14:paraId="585805DA" w14:textId="6C52AA53" w:rsidR="00F56E2B" w:rsidRDefault="00A10EE5" w:rsidP="001D44B8">
      <w:pPr>
        <w:spacing w:before="240" w:after="0"/>
      </w:pPr>
      <w:r>
        <w:t>Remarque :</w:t>
      </w:r>
    </w:p>
    <w:p w14:paraId="24AC5B72" w14:textId="5C57387E" w:rsidR="00A10EE5" w:rsidRDefault="00A10EE5" w:rsidP="00A10EE5">
      <w:pPr>
        <w:spacing w:before="120" w:after="0"/>
      </w:pPr>
      <w:r>
        <w:t>L’orthocentre peut être situé à l’extérieur du triangle</w:t>
      </w:r>
      <w:r w:rsidR="00D5781A">
        <w:t xml:space="preserve"> (voir exercice).</w:t>
      </w:r>
    </w:p>
    <w:p w14:paraId="703B5014" w14:textId="32EAD4BF" w:rsidR="005555ED" w:rsidRPr="00726642" w:rsidRDefault="005555ED" w:rsidP="005555ED">
      <w:pPr>
        <w:spacing w:before="600"/>
        <w:rPr>
          <w:color w:val="00B050"/>
        </w:rPr>
      </w:pPr>
      <w:r>
        <w:rPr>
          <w:color w:val="00B050"/>
        </w:rPr>
        <w:t>6</w:t>
      </w:r>
      <w:r w:rsidRPr="00726642">
        <w:rPr>
          <w:color w:val="00B050"/>
        </w:rPr>
        <w:t xml:space="preserve">. </w:t>
      </w:r>
      <w:r>
        <w:rPr>
          <w:color w:val="00B050"/>
        </w:rPr>
        <w:t>Aire d’un triangle</w:t>
      </w:r>
    </w:p>
    <w:p w14:paraId="2E7BF6F8" w14:textId="77777777" w:rsidR="005555ED" w:rsidRPr="00F82953" w:rsidRDefault="005555ED" w:rsidP="005555ED">
      <w:pPr>
        <w:spacing w:before="240"/>
        <w:ind w:left="284"/>
        <w:rPr>
          <w:color w:val="ED7D31" w:themeColor="accent2"/>
        </w:rPr>
      </w:pPr>
      <w:r w:rsidRPr="00F82953">
        <w:rPr>
          <w:color w:val="ED7D31" w:themeColor="accent2"/>
        </w:rPr>
        <w:t xml:space="preserve">1) </w:t>
      </w:r>
      <w:r>
        <w:rPr>
          <w:color w:val="ED7D31" w:themeColor="accent2"/>
        </w:rPr>
        <w:t>Médianes d’un triangle</w:t>
      </w:r>
    </w:p>
    <w:p w14:paraId="64BE4A8E" w14:textId="77777777" w:rsidR="005555ED" w:rsidRPr="007964A5" w:rsidRDefault="005555ED" w:rsidP="005555ED">
      <w:pPr>
        <w:ind w:left="567"/>
      </w:pPr>
      <w:r w:rsidRPr="007964A5">
        <w:rPr>
          <w:u w:val="single"/>
        </w:rPr>
        <w:t>Définition</w:t>
      </w:r>
      <w:r w:rsidRPr="007964A5">
        <w:t> :</w:t>
      </w:r>
    </w:p>
    <w:p w14:paraId="733F07D8" w14:textId="77777777" w:rsidR="005555ED" w:rsidRPr="005C413E" w:rsidRDefault="005555ED" w:rsidP="005555ED">
      <w:pPr>
        <w:spacing w:before="240" w:after="0"/>
        <w:rPr>
          <w:color w:val="FF0000"/>
        </w:rPr>
      </w:pPr>
      <w:r>
        <w:rPr>
          <w:color w:val="FF0000"/>
        </w:rPr>
        <w:t xml:space="preserve">Dans un triangle, une </w:t>
      </w:r>
      <w:r w:rsidRPr="00F56E2B">
        <w:rPr>
          <w:color w:val="FF0000"/>
          <w:u w:val="single"/>
        </w:rPr>
        <w:t>médiane</w:t>
      </w:r>
      <w:r>
        <w:rPr>
          <w:color w:val="FF0000"/>
        </w:rPr>
        <w:t xml:space="preserve"> est une droite qui passe par un sommet et qui coupe le côté opposé en son milieu.</w:t>
      </w:r>
    </w:p>
    <w:p w14:paraId="7B59D74F" w14:textId="5C6D1950" w:rsidR="00772AA9" w:rsidRDefault="00AD1128" w:rsidP="00AD1128">
      <w:pPr>
        <w:spacing w:before="240"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6071059A" wp14:editId="27444BF7">
            <wp:extent cx="2838450" cy="2161969"/>
            <wp:effectExtent l="0" t="0" r="0" b="0"/>
            <wp:docPr id="1906731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7311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5745" cy="21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6C6DC" w14:textId="0B53B96F" w:rsidR="00AD1128" w:rsidRDefault="00AD1128" w:rsidP="00AD1128">
      <w:pPr>
        <w:spacing w:before="120" w:after="0"/>
        <w:rPr>
          <w:noProof/>
        </w:rPr>
      </w:pPr>
      <w:r>
        <w:rPr>
          <w:noProof/>
        </w:rPr>
        <w:t xml:space="preserve">(AH) est </w:t>
      </w:r>
      <w:r w:rsidRPr="00734091">
        <w:rPr>
          <w:noProof/>
          <w:u w:val="single" w:color="FF0000"/>
        </w:rPr>
        <w:t>la hauteur</w:t>
      </w:r>
      <w:r>
        <w:rPr>
          <w:noProof/>
        </w:rPr>
        <w:t xml:space="preserve"> issue du point A. </w:t>
      </w:r>
    </w:p>
    <w:p w14:paraId="0C917754" w14:textId="4E962CA5" w:rsidR="00AD1128" w:rsidRDefault="00AD1128" w:rsidP="00AD1128">
      <w:pPr>
        <w:spacing w:before="120" w:after="0"/>
        <w:rPr>
          <w:noProof/>
        </w:rPr>
      </w:pPr>
      <w:r>
        <w:rPr>
          <w:noProof/>
        </w:rPr>
        <w:t xml:space="preserve">H est </w:t>
      </w:r>
      <w:r w:rsidRPr="00734091">
        <w:rPr>
          <w:noProof/>
          <w:u w:val="single" w:color="FF0000"/>
        </w:rPr>
        <w:t>le pied</w:t>
      </w:r>
      <w:r>
        <w:rPr>
          <w:noProof/>
        </w:rPr>
        <w:t xml:space="preserve"> de la hauteur is</w:t>
      </w:r>
      <w:r w:rsidR="004706A9">
        <w:rPr>
          <w:noProof/>
        </w:rPr>
        <w:t>s</w:t>
      </w:r>
      <w:r>
        <w:rPr>
          <w:noProof/>
        </w:rPr>
        <w:t>ue de A.</w:t>
      </w:r>
    </w:p>
    <w:p w14:paraId="3A85D49C" w14:textId="45A0EE38" w:rsidR="00AD1128" w:rsidRDefault="00AD1128" w:rsidP="00AD1128">
      <w:pPr>
        <w:spacing w:before="120" w:after="0"/>
        <w:rPr>
          <w:noProof/>
        </w:rPr>
      </w:pPr>
      <w:r>
        <w:rPr>
          <w:noProof/>
        </w:rPr>
        <w:t xml:space="preserve">[BC] est </w:t>
      </w:r>
      <w:r w:rsidRPr="00734091">
        <w:rPr>
          <w:noProof/>
          <w:u w:val="single" w:color="FF0000"/>
        </w:rPr>
        <w:t>la base correspondante</w:t>
      </w:r>
      <w:r>
        <w:rPr>
          <w:noProof/>
        </w:rPr>
        <w:t xml:space="preserve"> à cette hauteur.</w:t>
      </w:r>
    </w:p>
    <w:tbl>
      <w:tblPr>
        <w:tblStyle w:val="Grilledutableau"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8499"/>
      </w:tblGrid>
      <w:tr w:rsidR="00734091" w14:paraId="3EF577D9" w14:textId="77777777" w:rsidTr="00D31629">
        <w:trPr>
          <w:jc w:val="center"/>
        </w:trPr>
        <w:tc>
          <w:tcPr>
            <w:tcW w:w="8499" w:type="dxa"/>
            <w:vAlign w:val="center"/>
          </w:tcPr>
          <w:p w14:paraId="7B77D363" w14:textId="0B83CC62" w:rsidR="00FA6560" w:rsidRDefault="00734091" w:rsidP="00D31629">
            <w:pPr>
              <w:spacing w:before="120" w:after="120"/>
              <w:jc w:val="center"/>
              <w:rPr>
                <w:noProof/>
              </w:rPr>
            </w:pPr>
            <w:r w:rsidRPr="00D31629">
              <w:rPr>
                <w:noProof/>
                <w:sz w:val="36"/>
                <w:szCs w:val="36"/>
              </w:rPr>
              <w:lastRenderedPageBreak/>
              <w:t>Aire du tr</w:t>
            </w:r>
            <w:r w:rsidR="00FA6560" w:rsidRPr="00D31629">
              <w:rPr>
                <w:noProof/>
                <w:sz w:val="36"/>
                <w:szCs w:val="36"/>
              </w:rPr>
              <w:t xml:space="preserve">iangle </w:t>
            </w:r>
            <w:r w:rsidR="00D31629" w:rsidRPr="00D31629">
              <w:rPr>
                <w:rFonts w:cs="Arial"/>
                <w:iCs/>
                <w:sz w:val="36"/>
                <w:szCs w:val="36"/>
              </w:rPr>
              <w:t>=</w:t>
            </w:r>
            <w:r w:rsidR="00D31629" w:rsidRPr="00DE6612">
              <w:rPr>
                <w:rFonts w:cs="Arial"/>
                <w:iCs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Cs/>
                      <w:sz w:val="40"/>
                      <w:szCs w:val="4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40"/>
                      <w:szCs w:val="40"/>
                    </w:rPr>
                    <m:t xml:space="preserve">Hauteur </m:t>
                  </m:r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FF0000"/>
                      <w:sz w:val="40"/>
                      <w:szCs w:val="4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40"/>
                      <w:szCs w:val="40"/>
                    </w:rPr>
                    <m:t xml:space="preserve"> base correspondante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40"/>
                      <w:szCs w:val="40"/>
                    </w:rPr>
                    <m:t>2</m:t>
                  </m:r>
                </m:den>
              </m:f>
            </m:oMath>
          </w:p>
        </w:tc>
      </w:tr>
    </w:tbl>
    <w:p w14:paraId="0B0E1BA3" w14:textId="17C59BD5" w:rsidR="00734091" w:rsidRDefault="00D31629" w:rsidP="00D31629">
      <w:pPr>
        <w:spacing w:before="360" w:after="0"/>
        <w:rPr>
          <w:noProof/>
        </w:rPr>
      </w:pPr>
      <w:r>
        <w:rPr>
          <w:noProof/>
        </w:rPr>
        <w:t xml:space="preserve">Aire du triangle ABC = </w:t>
      </w:r>
      <w:r w:rsidRPr="00DE6612">
        <w:rPr>
          <w:rFonts w:cs="Arial"/>
          <w:iCs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 w:cs="Arial"/>
                <w:iCs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AH x BC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2</m:t>
            </m:r>
          </m:den>
        </m:f>
      </m:oMath>
    </w:p>
    <w:p w14:paraId="35388410" w14:textId="6FE172FD" w:rsidR="00734091" w:rsidRDefault="00D31629" w:rsidP="00AD1128">
      <w:pPr>
        <w:spacing w:before="120" w:after="0"/>
        <w:rPr>
          <w:noProof/>
        </w:rPr>
      </w:pPr>
      <w:r w:rsidRPr="00D31629">
        <w:rPr>
          <w:noProof/>
          <w:u w:val="single"/>
        </w:rPr>
        <w:t>Remarque</w:t>
      </w:r>
      <w:r>
        <w:rPr>
          <w:noProof/>
        </w:rPr>
        <w:t> :</w:t>
      </w:r>
    </w:p>
    <w:p w14:paraId="5ED5582F" w14:textId="2E90BB0F" w:rsidR="00D31629" w:rsidRDefault="00D31629" w:rsidP="00AD1128">
      <w:pPr>
        <w:spacing w:before="120" w:after="0"/>
        <w:rPr>
          <w:noProof/>
        </w:rPr>
      </w:pPr>
      <w:r>
        <w:rPr>
          <w:noProof/>
        </w:rPr>
        <w:t>Il existe trois façons de calculer l’aire d’un triangle avec la formule précédente.</w:t>
      </w:r>
    </w:p>
    <w:p w14:paraId="53636270" w14:textId="14AF213A" w:rsidR="00D31629" w:rsidRDefault="00D31629" w:rsidP="00D31629">
      <w:pPr>
        <w:spacing w:before="360" w:after="0"/>
        <w:rPr>
          <w:noProof/>
        </w:rPr>
      </w:pPr>
      <w:r w:rsidRPr="00D31629">
        <w:rPr>
          <w:noProof/>
          <w:u w:val="single"/>
        </w:rPr>
        <w:t>Cas particuliers</w:t>
      </w:r>
      <w:r>
        <w:rPr>
          <w:noProof/>
        </w:rPr>
        <w:t> :</w:t>
      </w:r>
    </w:p>
    <w:p w14:paraId="49DEA407" w14:textId="5DD61534" w:rsidR="00D31629" w:rsidRDefault="00F006F2" w:rsidP="00AD1128">
      <w:pPr>
        <w:spacing w:before="120" w:after="0"/>
        <w:rPr>
          <w:noProof/>
        </w:rPr>
      </w:pPr>
      <w:r>
        <w:rPr>
          <w:noProof/>
        </w:rPr>
        <w:t>Pour trouver l’aire d’un triangle rectangle, on multiplie les deux côtés de l’angle droit et on divise par 2.</w:t>
      </w:r>
    </w:p>
    <w:p w14:paraId="0642A1C7" w14:textId="334314AF" w:rsidR="005555ED" w:rsidRPr="001D49D2" w:rsidRDefault="005555ED" w:rsidP="001D44B8">
      <w:pPr>
        <w:spacing w:before="240" w:after="0"/>
      </w:pPr>
    </w:p>
    <w:sectPr w:rsidR="005555ED" w:rsidRPr="001D49D2" w:rsidSect="00A16AFC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642"/>
    <w:rsid w:val="00023792"/>
    <w:rsid w:val="00033A9E"/>
    <w:rsid w:val="00081283"/>
    <w:rsid w:val="000818E4"/>
    <w:rsid w:val="000E0ED9"/>
    <w:rsid w:val="000E3CAD"/>
    <w:rsid w:val="000F640B"/>
    <w:rsid w:val="000F7413"/>
    <w:rsid w:val="001065D2"/>
    <w:rsid w:val="00130B1B"/>
    <w:rsid w:val="00150446"/>
    <w:rsid w:val="00170397"/>
    <w:rsid w:val="00170506"/>
    <w:rsid w:val="00180739"/>
    <w:rsid w:val="001969BD"/>
    <w:rsid w:val="001A127B"/>
    <w:rsid w:val="001B318E"/>
    <w:rsid w:val="001D44B8"/>
    <w:rsid w:val="001D49D2"/>
    <w:rsid w:val="002443D8"/>
    <w:rsid w:val="00294BB7"/>
    <w:rsid w:val="002A40B4"/>
    <w:rsid w:val="002B1536"/>
    <w:rsid w:val="002C21A9"/>
    <w:rsid w:val="002C2E47"/>
    <w:rsid w:val="002F726B"/>
    <w:rsid w:val="003229DA"/>
    <w:rsid w:val="00327672"/>
    <w:rsid w:val="003279C7"/>
    <w:rsid w:val="003401A3"/>
    <w:rsid w:val="003561D5"/>
    <w:rsid w:val="00371B8B"/>
    <w:rsid w:val="00397DEE"/>
    <w:rsid w:val="003C5573"/>
    <w:rsid w:val="003E7F3B"/>
    <w:rsid w:val="0042318C"/>
    <w:rsid w:val="00457729"/>
    <w:rsid w:val="004706A9"/>
    <w:rsid w:val="00484CA7"/>
    <w:rsid w:val="004E4A2E"/>
    <w:rsid w:val="004F3F98"/>
    <w:rsid w:val="004F6C22"/>
    <w:rsid w:val="005132A5"/>
    <w:rsid w:val="005157B6"/>
    <w:rsid w:val="005220F6"/>
    <w:rsid w:val="00540AA6"/>
    <w:rsid w:val="00541198"/>
    <w:rsid w:val="00547497"/>
    <w:rsid w:val="005478B3"/>
    <w:rsid w:val="00554B46"/>
    <w:rsid w:val="00554BD9"/>
    <w:rsid w:val="005555ED"/>
    <w:rsid w:val="005768F5"/>
    <w:rsid w:val="00586EC7"/>
    <w:rsid w:val="005A6548"/>
    <w:rsid w:val="005C413E"/>
    <w:rsid w:val="005C5DD8"/>
    <w:rsid w:val="005F24ED"/>
    <w:rsid w:val="006053EC"/>
    <w:rsid w:val="006235AD"/>
    <w:rsid w:val="0062600C"/>
    <w:rsid w:val="00647A00"/>
    <w:rsid w:val="00650158"/>
    <w:rsid w:val="0067423D"/>
    <w:rsid w:val="006B002E"/>
    <w:rsid w:val="006B6907"/>
    <w:rsid w:val="006D34D6"/>
    <w:rsid w:val="006E3810"/>
    <w:rsid w:val="00703BA1"/>
    <w:rsid w:val="00726642"/>
    <w:rsid w:val="00734091"/>
    <w:rsid w:val="007367EF"/>
    <w:rsid w:val="00753647"/>
    <w:rsid w:val="00755D6B"/>
    <w:rsid w:val="00772AA9"/>
    <w:rsid w:val="00783BCE"/>
    <w:rsid w:val="007854D9"/>
    <w:rsid w:val="007964A5"/>
    <w:rsid w:val="007E2A43"/>
    <w:rsid w:val="00802742"/>
    <w:rsid w:val="008562E7"/>
    <w:rsid w:val="00885278"/>
    <w:rsid w:val="0088558C"/>
    <w:rsid w:val="008B434C"/>
    <w:rsid w:val="008B7FC0"/>
    <w:rsid w:val="008D0E97"/>
    <w:rsid w:val="009110BA"/>
    <w:rsid w:val="00965CF2"/>
    <w:rsid w:val="009C4584"/>
    <w:rsid w:val="00A10EE5"/>
    <w:rsid w:val="00A16AFC"/>
    <w:rsid w:val="00A17579"/>
    <w:rsid w:val="00A20918"/>
    <w:rsid w:val="00A433A9"/>
    <w:rsid w:val="00A5186B"/>
    <w:rsid w:val="00A6545A"/>
    <w:rsid w:val="00A85169"/>
    <w:rsid w:val="00AB2DDF"/>
    <w:rsid w:val="00AC59AC"/>
    <w:rsid w:val="00AD1128"/>
    <w:rsid w:val="00AD5266"/>
    <w:rsid w:val="00AE64B5"/>
    <w:rsid w:val="00AF5651"/>
    <w:rsid w:val="00B14009"/>
    <w:rsid w:val="00B166B2"/>
    <w:rsid w:val="00B344FB"/>
    <w:rsid w:val="00B4722D"/>
    <w:rsid w:val="00B76250"/>
    <w:rsid w:val="00B86FF3"/>
    <w:rsid w:val="00B87754"/>
    <w:rsid w:val="00BA0117"/>
    <w:rsid w:val="00BA7C83"/>
    <w:rsid w:val="00BC41FB"/>
    <w:rsid w:val="00BC4435"/>
    <w:rsid w:val="00BE361B"/>
    <w:rsid w:val="00C34932"/>
    <w:rsid w:val="00C44763"/>
    <w:rsid w:val="00C75E29"/>
    <w:rsid w:val="00C856C1"/>
    <w:rsid w:val="00C87876"/>
    <w:rsid w:val="00C9352E"/>
    <w:rsid w:val="00C94C85"/>
    <w:rsid w:val="00CA4D00"/>
    <w:rsid w:val="00CA7FAC"/>
    <w:rsid w:val="00CB371E"/>
    <w:rsid w:val="00CD4410"/>
    <w:rsid w:val="00CF05AB"/>
    <w:rsid w:val="00D13301"/>
    <w:rsid w:val="00D211E0"/>
    <w:rsid w:val="00D31629"/>
    <w:rsid w:val="00D35510"/>
    <w:rsid w:val="00D4494E"/>
    <w:rsid w:val="00D573A9"/>
    <w:rsid w:val="00D5781A"/>
    <w:rsid w:val="00D6667F"/>
    <w:rsid w:val="00D91586"/>
    <w:rsid w:val="00DB7415"/>
    <w:rsid w:val="00DF2FC1"/>
    <w:rsid w:val="00E340AC"/>
    <w:rsid w:val="00E579B1"/>
    <w:rsid w:val="00E838C3"/>
    <w:rsid w:val="00EA0163"/>
    <w:rsid w:val="00EF36F0"/>
    <w:rsid w:val="00EF6E9B"/>
    <w:rsid w:val="00F006F2"/>
    <w:rsid w:val="00F062F8"/>
    <w:rsid w:val="00F56E2B"/>
    <w:rsid w:val="00F82953"/>
    <w:rsid w:val="00FA6560"/>
    <w:rsid w:val="00FE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DE8EA"/>
  <w15:chartTrackingRefBased/>
  <w15:docId w15:val="{C34628CE-A0F8-4749-9AF0-7628DE955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kern w:val="2"/>
        <w:sz w:val="28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26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AB2DD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3</Pages>
  <Words>224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Visiteur</dc:creator>
  <cp:keywords/>
  <dc:description/>
  <cp:lastModifiedBy>Frederic Garnier</cp:lastModifiedBy>
  <cp:revision>22</cp:revision>
  <cp:lastPrinted>2023-10-10T06:42:00Z</cp:lastPrinted>
  <dcterms:created xsi:type="dcterms:W3CDTF">2024-05-31T05:22:00Z</dcterms:created>
  <dcterms:modified xsi:type="dcterms:W3CDTF">2024-06-03T08:12:00Z</dcterms:modified>
</cp:coreProperties>
</file>